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f1"/>
        <w:tblW w:w="0" w:type="auto"/>
        <w:tblInd w:w="4927" w:type="dxa"/>
        <w:tblLayout w:type="fixed"/>
        <w:tblLook w:val="04A0" w:firstRow="1" w:lastRow="0" w:firstColumn="1" w:lastColumn="0" w:noHBand="0" w:noVBand="1"/>
      </w:tblPr>
      <w:tblGrid>
        <w:gridCol w:w="4818"/>
      </w:tblGrid>
      <w:tr w:rsidR="008607D0">
        <w:tc>
          <w:tcPr>
            <w:tcW w:w="48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607D0" w:rsidRDefault="007A74B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886"/>
              <w:contextualSpacing/>
              <w:outlineLv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Приложение</w:t>
            </w:r>
          </w:p>
          <w:p w:rsidR="008607D0" w:rsidRDefault="008607D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886" w:firstLine="709"/>
              <w:contextualSpacing/>
              <w:outlineLv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607D0" w:rsidRDefault="007A74B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886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hAnsi="Times New Roman"/>
                <w:color w:val="000000" w:themeColor="text1"/>
                <w:sz w:val="24"/>
                <w:szCs w:val="24"/>
              </w:rPr>
              <w:t>УТВЕРЖДЕНО</w:t>
            </w:r>
          </w:p>
          <w:p w:rsidR="008607D0" w:rsidRDefault="008607D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886" w:firstLine="709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607D0" w:rsidRDefault="007A74B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886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решением Думы </w:t>
            </w:r>
          </w:p>
          <w:p w:rsidR="008607D0" w:rsidRDefault="007A74B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886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Артемовского городского округа</w:t>
            </w:r>
          </w:p>
          <w:p w:rsidR="008607D0" w:rsidRDefault="007A74B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886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от 28.05.2009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№ 147</w:t>
            </w:r>
          </w:p>
          <w:p w:rsidR="008607D0" w:rsidRDefault="008607D0">
            <w:pPr>
              <w:widowControl w:val="0"/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886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  <w:tr w:rsidR="008607D0">
        <w:tc>
          <w:tcPr>
            <w:tcW w:w="4818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</w:tcPr>
          <w:p w:rsidR="008607D0" w:rsidRDefault="007A74B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850"/>
              <w:contextualSpacing/>
              <w:outlineLvl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Приложение</w:t>
            </w:r>
          </w:p>
          <w:p w:rsidR="008607D0" w:rsidRDefault="008607D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850"/>
              <w:contextualSpacing/>
              <w:outlineLvl w:val="0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</w:p>
          <w:p w:rsidR="008607D0" w:rsidRDefault="007A74B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850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к решению Думы </w:t>
            </w:r>
          </w:p>
          <w:p w:rsidR="008607D0" w:rsidRDefault="007A74B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850"/>
              <w:contextualSpacing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>Артемовского городского округа</w:t>
            </w:r>
          </w:p>
          <w:p w:rsidR="008607D0" w:rsidRDefault="007A74B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850"/>
              <w:contextualSpacing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от                 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en-US"/>
              </w:rPr>
              <w:t xml:space="preserve">            </w:t>
            </w:r>
            <w:r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  <w:t xml:space="preserve"> № </w:t>
            </w:r>
          </w:p>
          <w:p w:rsidR="008607D0" w:rsidRDefault="008607D0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  <w:between w:val="none" w:sz="4" w:space="0" w:color="000000"/>
              </w:pBdr>
              <w:spacing w:after="0" w:line="240" w:lineRule="auto"/>
              <w:ind w:left="850"/>
              <w:contextualSpacing/>
              <w:outlineLvl w:val="0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</w:rPr>
            </w:pPr>
          </w:p>
        </w:tc>
      </w:tr>
    </w:tbl>
    <w:p w:rsidR="008607D0" w:rsidRDefault="008607D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8607D0" w:rsidRDefault="007A74B0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bookmarkStart w:id="0" w:name="undefined"/>
      <w:bookmarkEnd w:id="0"/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>ПОЛОЖЕНИЕ</w:t>
      </w:r>
    </w:p>
    <w:p w:rsidR="008607D0" w:rsidRDefault="007A74B0">
      <w:pPr>
        <w:widowControl w:val="0"/>
        <w:spacing w:after="0" w:line="240" w:lineRule="auto"/>
        <w:contextualSpacing/>
        <w:jc w:val="center"/>
        <w:rPr>
          <w:rFonts w:ascii="Times New Roman" w:hAnsi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bCs/>
          <w:color w:val="000000" w:themeColor="text1"/>
          <w:sz w:val="24"/>
          <w:szCs w:val="24"/>
        </w:rPr>
        <w:t xml:space="preserve"> об </w:t>
      </w:r>
      <w:r>
        <w:rPr>
          <w:rFonts w:ascii="Times New Roman" w:eastAsia="Times New Roman" w:hAnsi="Times New Roman"/>
          <w:b/>
          <w:bCs/>
          <w:sz w:val="24"/>
          <w:szCs w:val="24"/>
        </w:rPr>
        <w:t>организации и осуществлени</w:t>
      </w:r>
      <w:r>
        <w:rPr>
          <w:rFonts w:ascii="Times New Roman" w:eastAsia="Times New Roman" w:hAnsi="Times New Roman"/>
          <w:b/>
          <w:bCs/>
          <w:sz w:val="24"/>
          <w:szCs w:val="24"/>
        </w:rPr>
        <w:t>и мероприятий по работе с детьми и молодежью,      участии в реализации молодежной политики, разработке и реализации мер по          обеспечению и защите прав и законных интересов молодежи, разработке и реализации муниципальных программ по основным направл</w:t>
      </w:r>
      <w:r>
        <w:rPr>
          <w:rFonts w:ascii="Times New Roman" w:eastAsia="Times New Roman" w:hAnsi="Times New Roman"/>
          <w:b/>
          <w:bCs/>
          <w:sz w:val="24"/>
          <w:szCs w:val="24"/>
        </w:rPr>
        <w:t>ениям реализации молодежной         политики, организации и осуществлении мониторинга реализации молодежной политики в Артемовском городском округе</w:t>
      </w:r>
    </w:p>
    <w:p w:rsidR="008607D0" w:rsidRDefault="008607D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6"/>
          <w:szCs w:val="26"/>
        </w:rPr>
      </w:pPr>
    </w:p>
    <w:p w:rsidR="008607D0" w:rsidRDefault="007A74B0">
      <w:pPr>
        <w:widowControl w:val="0"/>
        <w:spacing w:after="0" w:line="240" w:lineRule="auto"/>
        <w:ind w:firstLine="709"/>
        <w:contextualSpacing/>
        <w:outlineLvl w:val="1"/>
        <w:rPr>
          <w:rFonts w:ascii="Times New Roman" w:hAnsi="Times New Roman"/>
          <w:b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>1. Общие положения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1.1. Настоящее Положение определяет формы и методы </w:t>
      </w:r>
      <w:r>
        <w:rPr>
          <w:rFonts w:ascii="Times New Roman" w:eastAsia="Times New Roman" w:hAnsi="Times New Roman"/>
          <w:sz w:val="24"/>
          <w:szCs w:val="24"/>
        </w:rPr>
        <w:t>организации и осуществления мероприятий по работе с детьми и молодежью, участия в реализации молодежной политики, разработки и реализации мер по обеспечению и защите прав и законных интересов молодежи, разработки и реализации муниципальных программ по осно</w:t>
      </w:r>
      <w:r>
        <w:rPr>
          <w:rFonts w:ascii="Times New Roman" w:eastAsia="Times New Roman" w:hAnsi="Times New Roman"/>
          <w:sz w:val="24"/>
          <w:szCs w:val="24"/>
        </w:rPr>
        <w:t>вным направлениям реализации молодежной политики, организации и осуществления мониторинга реализации молодежной политики в Артемовском городском округе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, направленные на создание и развитие правовых, социально-экономических и организационных условий для сам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ореализации детей и молодежи, их духовно-нравственного и гражданско-патриотического воспитания.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1.2. Понятия, используемые в настоящем Положении, применяются в значениях, установленных в Федеральном законе от 30.12.2020 № 489-ФЗ «О молодежной политике в Ро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ссийской Федерации»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.</w:t>
      </w:r>
    </w:p>
    <w:p w:rsidR="008607D0" w:rsidRDefault="008607D0">
      <w:pPr>
        <w:widowControl w:val="0"/>
        <w:spacing w:after="0" w:line="24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</w:pPr>
    </w:p>
    <w:p w:rsidR="008607D0" w:rsidRDefault="007A74B0">
      <w:pPr>
        <w:widowControl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2. Полномочия органов местного самоуправления Артемовского городского округа по </w:t>
      </w:r>
      <w:r>
        <w:rPr>
          <w:rFonts w:ascii="Times New Roman" w:eastAsia="Times New Roman" w:hAnsi="Times New Roman"/>
          <w:b/>
          <w:bCs/>
          <w:sz w:val="24"/>
          <w:szCs w:val="24"/>
        </w:rPr>
        <w:t>организации и осуществлению мероприятий по работе с детьми и                 молодежью, участию в реализации  молодежной  политики, разработке и реализаци</w:t>
      </w:r>
      <w:r>
        <w:rPr>
          <w:rFonts w:ascii="Times New Roman" w:eastAsia="Times New Roman" w:hAnsi="Times New Roman"/>
          <w:b/>
          <w:bCs/>
          <w:sz w:val="24"/>
          <w:szCs w:val="24"/>
        </w:rPr>
        <w:t>и мер по обеспечению и защите прав и законных интересов молодежи, разработке и       реализации муниципальных программ по основным направлениям реализации          молодежной политики, организации и осуществлению мониторинга реализации        молодежной по</w:t>
      </w:r>
      <w:r>
        <w:rPr>
          <w:rFonts w:ascii="Times New Roman" w:eastAsia="Times New Roman" w:hAnsi="Times New Roman"/>
          <w:b/>
          <w:bCs/>
          <w:sz w:val="24"/>
          <w:szCs w:val="24"/>
        </w:rPr>
        <w:t>литики в Артемовском городском округе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2.1. Полномочия Думы Артемовского городского округа</w:t>
      </w:r>
      <w:r>
        <w:rPr>
          <w:rFonts w:ascii="Times New Roman" w:hAnsi="Times New Roman"/>
          <w:color w:val="000000" w:themeColor="text1"/>
          <w:sz w:val="24"/>
          <w:szCs w:val="24"/>
        </w:rPr>
        <w:t>: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2.1.1. Правовое регулирование </w:t>
      </w:r>
      <w:r>
        <w:rPr>
          <w:rFonts w:ascii="Times New Roman" w:eastAsia="Times New Roman" w:hAnsi="Times New Roman"/>
          <w:sz w:val="24"/>
          <w:szCs w:val="24"/>
        </w:rPr>
        <w:t xml:space="preserve">организации и осуществления мероприятий по работе с </w:t>
      </w:r>
      <w:r>
        <w:rPr>
          <w:rFonts w:ascii="Times New Roman" w:eastAsia="Times New Roman" w:hAnsi="Times New Roman"/>
          <w:sz w:val="24"/>
          <w:szCs w:val="24"/>
        </w:rPr>
        <w:lastRenderedPageBreak/>
        <w:t>детьми и молодежью, участия в реализации молодежной политики, разработке и реализац</w:t>
      </w:r>
      <w:r>
        <w:rPr>
          <w:rFonts w:ascii="Times New Roman" w:eastAsia="Times New Roman" w:hAnsi="Times New Roman"/>
          <w:sz w:val="24"/>
          <w:szCs w:val="24"/>
        </w:rPr>
        <w:t xml:space="preserve">ии мер по обеспечению и защите прав и законных интересов молодежи, разработке и реализации муниципальных программ по основным направлениям реализации молодежной политики, организации и осуществлении мониторинга реализации молодежной политики в Артемовском </w:t>
      </w:r>
      <w:r>
        <w:rPr>
          <w:rFonts w:ascii="Times New Roman" w:eastAsia="Times New Roman" w:hAnsi="Times New Roman"/>
          <w:sz w:val="24"/>
          <w:szCs w:val="24"/>
        </w:rPr>
        <w:t>городском округе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2.1.2. Утверждение расходов бюджета Артемовского городского округа на организацию и осуществление мероприятий </w:t>
      </w:r>
      <w:r>
        <w:rPr>
          <w:rFonts w:ascii="Times New Roman" w:eastAsia="Times New Roman" w:hAnsi="Times New Roman"/>
          <w:sz w:val="24"/>
          <w:szCs w:val="24"/>
        </w:rPr>
        <w:t>по работе с детьми и молодежью, участие в реализации молодежной политики, разработку и реализацию мер по обеспечению и защите пр</w:t>
      </w:r>
      <w:r>
        <w:rPr>
          <w:rFonts w:ascii="Times New Roman" w:eastAsia="Times New Roman" w:hAnsi="Times New Roman"/>
          <w:sz w:val="24"/>
          <w:szCs w:val="24"/>
        </w:rPr>
        <w:t>ав и законных интересов молодежи, разработку и реализацию муниципальных программ по основным направлениям реализации молодежной политики, организацию и осуществление мониторинга реализации молодежной политики в Артемовском городском округе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2.2. Полномочия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администрации Артемовского городского округа: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2.2.1. Разработка и реализация муниципальных программ по основным направлениям молодежной политики.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2.2.2. Содействие реализации выдвигаемых инициатив, в том числе инициативных проектов, молодежи Артемовского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городского округа.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2.2.3. Организация и проведение мероприятий </w:t>
      </w:r>
      <w:r>
        <w:rPr>
          <w:rFonts w:ascii="Times New Roman" w:eastAsia="Times New Roman" w:hAnsi="Times New Roman"/>
          <w:sz w:val="24"/>
          <w:szCs w:val="24"/>
        </w:rPr>
        <w:t>по работе с молодежью на территории Артемовского городского округа.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2.2.4. Ра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зработка и реализация мер по обеспечению и защите прав и законных интересов молодежи на территории Артемовского городского округа.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2.2.5. Организация и осуществление мониторинга реализации молодежной политики.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2.2.6. Содействие образованию молодежи, научно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й, научно-технической деятельности молодежи, повышению мотивации у молодых граждан к получению новых знаний, в том числе путем самообразования.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2.2.7. Поддержка и содействие предпринимательской деятельности молодежи.</w:t>
      </w:r>
    </w:p>
    <w:p w:rsidR="008607D0" w:rsidRDefault="007A74B0" w:rsidP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2.2.8. Содействие участию молодежи в добровольческой (волонтерской) деятельности.</w:t>
      </w:r>
    </w:p>
    <w:p w:rsidR="008607D0" w:rsidRDefault="007A74B0" w:rsidP="007A74B0">
      <w:pPr>
        <w:widowControl w:val="0"/>
        <w:spacing w:after="0" w:line="360" w:lineRule="auto"/>
        <w:ind w:firstLine="709"/>
        <w:contextualSpacing/>
        <w:jc w:val="both"/>
        <w:rPr>
          <w:sz w:val="24"/>
          <w:szCs w:val="24"/>
          <w:highlight w:val="white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2.2.9. Формирование у молодежи экологической культуры и экологически ответственного мировоззрения.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2.2.10. Содействие межмуниципальному, межрегиональному и  международносу со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трудничества в сфере молодежной политики.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2.2.11. Содействие в предупреждении правонарушений и антиобщественных действий молодежи.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sz w:val="24"/>
          <w:szCs w:val="24"/>
          <w:highlight w:val="white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2.2.12. Поддержка деятельности по созданию и распространению в средствах массовой информации, в том числе в информационно-тел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екоммуникационной сети Интернет, произведений науки, искусства, литературы и других произведений, направленных на укрепление гражданской идентичности, патриотическое и духовно-нравственное воспитание моло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lastRenderedPageBreak/>
        <w:t>дежи.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>2.2.13. Создание условий для молодежи в реализ</w:t>
      </w:r>
      <w:r>
        <w:rPr>
          <w:rFonts w:ascii="Times New Roman" w:eastAsia="Times New Roman" w:hAnsi="Times New Roman"/>
          <w:sz w:val="24"/>
          <w:szCs w:val="24"/>
          <w:highlight w:val="white"/>
        </w:rPr>
        <w:t>ации молодежной политики в Артемовском городском округе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2.2.14. Патриотическое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и духовно-нравственное воспитание молодежи: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организация и проведение мероприятий, посвященных памятным датам истории России, государственным праздникам и символам Российской Ф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едерации, в форме конференций, Дней памяти, фестивалей, конкурсов, уроков мужества, круглых столов;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организация и проведение мероприятий, направленных на повышение престижа военной службы, например,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«День призывника», военно-спортивные игры;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содействие деят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ельности центров патриотического воспитания молодежи, военно-патриотических объединений (клубов), историко-краеведческих и поисковых организаций, общественно-государственных и общественных объединений, уполномоченных на проведение поисковой работы, осущест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вляемой в целях выявления неизвестных воинских захоронений и непогребенных останков, установления имен погибших и пропавших без вести при защите Отечества и увековечения их памяти, а также иных некоммерческих организаций и общественных объединений, осущест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вляющих деятельность в сфере патриотического воспитания молодежи и духовно-нравственного воспитания молодежи;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мониторинг эффективности патриотического воспитания молодежи и духовно-нравственного воспитания молодежи в Российской Федерации;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ины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е меры, предусмотренные законодательством Российской Федерации, законодательством Приморского края, муниципальными правовыми актами.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 xml:space="preserve">2.2.15. Выявление, сопровождение и поддержка молодежи, проявившей одаренность, содействие реализации прав молодых граждан на свободу литературного, 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 xml:space="preserve">художественного, </w:t>
      </w:r>
    </w:p>
    <w:p w:rsidR="008607D0" w:rsidRDefault="007A74B0" w:rsidP="007A74B0">
      <w:pPr>
        <w:widowControl w:val="0"/>
        <w:spacing w:after="0" w:line="360" w:lineRule="auto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научного, технического и других видов творчества:</w:t>
      </w:r>
    </w:p>
    <w:p w:rsidR="008607D0" w:rsidRDefault="007A74B0" w:rsidP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развитие системы городских культурно-массовых, досуговых и спортивных мероприятий, основанных на преемственности культурно-исторических традиций Артемовского горо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дского округа и Приморского края;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организация и проведение городских молодежных праздников, творческих и интеллектуальных конкурсов, фестивалей, викторин, выставок по различным направлениям, реализующих интересы и способности детей, учащейся, студенческой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и работающей молодежи;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поддержка участия детей и молодежи в международных, всероссийских, региональных конкурсах, фестивалях, турнирах, слетах;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развитие муниципальной системы мер поощрения способной и талантливой молодежи (учреждение премий и грантов);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раз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работка и реализация системы мер по социально-экономической, организационной и правовой поддержке предпринимательской деятельности молодежи;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lastRenderedPageBreak/>
        <w:t>развитие системы конкурсов социальных проектов для детей и молодежи и поддержка их реализации.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2.2.16. Поддержка де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ятельности молодежных общественных объединений, некоммерческих организаций, осуществляющих деятельность, направленную на реализацию молодежной политики в Российской Федерации: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информирование детских и молодежных объединений о проводимых мероприятиях в обла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сти молодежной политики;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обучение актива молодежных общественных объединений;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проведение семинаров, тренингов, конференций, слетов, профильных смен лагерей, круглых столов с участием представителей молодежных и детских общественных объединений;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развитие форм ученического, молодежного и студенческого самоуправления;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содействие общественным формированиям (детским и молодежным парламентам, ассамблеям, правительствам, советам, ассоциациям и др.), способствующим гражданскому воспитанию детей и молодеж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и, защите их законных интересов, формированию правовой, политической культуры и гражданской позиции детей и молодежи;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содействие деятельности профильных студенческих и молодежных отрядов, ученических бригад;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содействие в проведении ярмарок учебных и рабочи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х вакантных мест для молодежи;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разработка и реализация мероприятий по поддержке Российского движения детей и молодежи «Движение первых»;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оказание поддержки первичным и местным отделениям Российского движения детей и молодежи «Движение первых», в том числе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в их взаимодействии с муниципальными учреждениями и иными организациями, а также поддержка движения в иных формах в соответствии с законодательством Российской Федерации и муниципальными правовыми актами.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2.2.17. О</w:t>
      </w:r>
      <w:r>
        <w:rPr>
          <w:rFonts w:ascii="Times New Roman" w:hAnsi="Times New Roman"/>
          <w:color w:val="000000" w:themeColor="text1"/>
          <w:sz w:val="24"/>
          <w:szCs w:val="24"/>
        </w:rPr>
        <w:t>рганизация досуга, отдыха и оздоровления м</w:t>
      </w:r>
      <w:r>
        <w:rPr>
          <w:rFonts w:ascii="Times New Roman" w:hAnsi="Times New Roman"/>
          <w:color w:val="000000" w:themeColor="text1"/>
          <w:sz w:val="24"/>
          <w:szCs w:val="24"/>
        </w:rPr>
        <w:t>олодежи, вовлечение молодых граждан в социальный и внутренний туризм, в том числе путем организации и проведения походов, экспедиций, слетов, фестивалей и иных мероприятий, проводимых в условиях природной среды.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2.2.18. Ф</w:t>
      </w:r>
      <w:r>
        <w:rPr>
          <w:rFonts w:ascii="Times New Roman" w:hAnsi="Times New Roman"/>
          <w:color w:val="000000" w:themeColor="text1"/>
          <w:sz w:val="24"/>
          <w:szCs w:val="24"/>
        </w:rPr>
        <w:t>ормирование условий для занятий физ</w:t>
      </w:r>
      <w:r>
        <w:rPr>
          <w:rFonts w:ascii="Times New Roman" w:hAnsi="Times New Roman"/>
          <w:color w:val="000000" w:themeColor="text1"/>
          <w:sz w:val="24"/>
          <w:szCs w:val="24"/>
        </w:rPr>
        <w:t>ической культурой, спортом, содействие здоровому образу жизни молодежи и его популяризации в молодежной среде, поддержка проектов молодежи, направленных на решение социальных задач через развитие физической культуры и спорта.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>2.2.19. Обеспечение межнациона</w:t>
      </w: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льного (межэтнического) и межконфессионального согласия в молодежной среде, профилактика и предупреждение проявлений экстремизма в </w:t>
      </w:r>
      <w:r>
        <w:rPr>
          <w:rFonts w:ascii="Times New Roman" w:eastAsia="Times New Roman" w:hAnsi="Times New Roman"/>
          <w:sz w:val="24"/>
          <w:szCs w:val="24"/>
          <w:highlight w:val="white"/>
        </w:rPr>
        <w:lastRenderedPageBreak/>
        <w:t>деятельности молодежных общественных объединений, формирование у молодежи на основе традиционных российских духовно-нравствен</w:t>
      </w:r>
      <w:r>
        <w:rPr>
          <w:rFonts w:ascii="Times New Roman" w:eastAsia="Times New Roman" w:hAnsi="Times New Roman"/>
          <w:sz w:val="24"/>
          <w:szCs w:val="24"/>
          <w:highlight w:val="white"/>
        </w:rPr>
        <w:t>ных ценностей неприятия идеологий терроризма, экстремизма, иных деструктивных идеологий, а также формирование устойчивости к их пропаганде: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проведение мероприятий по профилактике безнадзорности и правонарушений среди несовершеннолетних;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организация обучающих семинаров для специалистов, работающих с молодежью, по пропаганде здорового образа жизни, профилактике социально вредных явлений среди детей и молодежи;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организация подготовки и работы волонтеров по профилактике социально вредных явле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ний среди детей и молодежи;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содействие общественным объединениям, иным организациям, деятельность которых связана с осуществлением мер по профилактике правонарушений и социально вредных явлений в молодежной среде;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развитие форм пропаганды толерантного пове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дения.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>2.2.20. Поддержка молодых семей, сохранение и укрепление традиционных семейных ценностей и семейного образа жизни в молодежной среде, создание условий для обеспечения ответственного родительства среди молодежи: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>информирование молодежи, молодых семей</w:t>
      </w: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 о реализации федеральных, краевых и городских программ, направленных на решение жилищных проблем молодых семей;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 xml:space="preserve">участие в реализации федеральных, региональных программ, действующей муниципальной программы, направленных на решение жилищных проблем молодых </w:t>
      </w:r>
      <w:r>
        <w:rPr>
          <w:rFonts w:ascii="Times New Roman" w:eastAsia="Times New Roman" w:hAnsi="Times New Roman"/>
          <w:sz w:val="24"/>
          <w:szCs w:val="24"/>
          <w:highlight w:val="white"/>
        </w:rPr>
        <w:t>семей;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/>
          <w:sz w:val="24"/>
          <w:szCs w:val="24"/>
          <w:highlight w:val="white"/>
        </w:rPr>
        <w:t>содействие в создании межведомственных структур консультирования молодых семей по медико-педагогическим и правовым вопросам.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2.2.21. Формирование информационного поля, благополучного для развития молодежи: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обеспечение открытости и доступности информ</w:t>
      </w:r>
      <w:r>
        <w:rPr>
          <w:rFonts w:ascii="Times New Roman" w:hAnsi="Times New Roman"/>
          <w:color w:val="000000" w:themeColor="text1"/>
          <w:sz w:val="24"/>
          <w:szCs w:val="24"/>
        </w:rPr>
        <w:t>ации о реализации молодежной политики;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</w:pPr>
      <w:r>
        <w:rPr>
          <w:rFonts w:ascii="Times New Roman" w:hAnsi="Times New Roman"/>
          <w:color w:val="000000" w:themeColor="text1"/>
          <w:sz w:val="24"/>
          <w:szCs w:val="24"/>
        </w:rPr>
        <w:t>размещение в средствах массовой информации, информационно-телекоммуникационной сети «</w:t>
      </w:r>
      <w:r>
        <w:rPr>
          <w:rFonts w:ascii="Times New Roman" w:hAnsi="Times New Roman"/>
          <w:color w:val="000000" w:themeColor="text1"/>
          <w:sz w:val="24"/>
          <w:szCs w:val="24"/>
        </w:rPr>
        <w:t>Интернет»</w:t>
      </w:r>
      <w:bookmarkStart w:id="1" w:name="_GoBack"/>
      <w:bookmarkEnd w:id="1"/>
      <w:r>
        <w:rPr>
          <w:rFonts w:ascii="Times New Roman" w:hAnsi="Times New Roman"/>
          <w:color w:val="000000" w:themeColor="text1"/>
          <w:sz w:val="24"/>
          <w:szCs w:val="24"/>
        </w:rPr>
        <w:t xml:space="preserve"> сведений о реализации молодежной политики, достижениях молодежи, проведении социально значимых мероприятий и иной информац</w:t>
      </w:r>
      <w:r>
        <w:rPr>
          <w:rFonts w:ascii="Times New Roman" w:hAnsi="Times New Roman"/>
          <w:color w:val="000000" w:themeColor="text1"/>
          <w:sz w:val="24"/>
          <w:szCs w:val="24"/>
        </w:rPr>
        <w:t>ии в сфере реализации молодежной политики;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</w:rPr>
        <w:t>издание информационных, тематических, справочных материалов по основным направлениям молодежной политики;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сбор, обработка и анализ информации по всем направлениям молодежной политики;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предоставление информации мол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одежи, детским и молодежным общественным объединениям, специалистам, работающим с детьми и молодежью;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изготовление и передача в телевизионный эфир молодежных телевизионных                 программ; 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содействие в поддержке и развитии системы информационных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каналов (телефона доверия, сайтов в сети Интернет, освещающих вопросы работы с детьми и молодежью в Артемовском городском округе и т.д.).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2.2.22. Организация подготовки специалистов по работе с молодежью: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содействие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в подготовке, переподготовке, повышении квалификации кадров для работы с детьми и молодежью;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содействие в организации методической работы по приоритетным направлениям молодежной политики.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2.2.23. Разработка и реализация мер по обеспечению и защите прав и 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законных интересов молодежи.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/>
          <w:sz w:val="24"/>
          <w:szCs w:val="24"/>
          <w:highlight w:val="white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2.2.24. Содействие развитию инфраструктуры молодежной политики, в том числе создание и обеспечение функционирования муниципальных учреждений молодежной политики на территории Артемовского городского округа, в порядке статей 13.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 xml:space="preserve">1 и 13.2 </w:t>
      </w:r>
      <w:r>
        <w:rPr>
          <w:rFonts w:ascii="Times New Roman" w:eastAsia="Times New Roman" w:hAnsi="Times New Roman"/>
          <w:color w:val="000000"/>
          <w:sz w:val="24"/>
          <w:szCs w:val="24"/>
          <w:highlight w:val="white"/>
        </w:rPr>
        <w:t>Федерального закона от 30.12.2020 № 489-ФЗ «О молодежной политике в Российской Федерации».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2.2.25. Информационное обеспечение реализации молодежной политики, участие в подготовке доклада о положении молодежи в порядке, установленном Правительством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Российской Федерации.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2.2.26. Осуществление взаимодействия в сфере молодежной политики с международными организациями, иностранными государственными органами, а также иностранными неправительственными организациями: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разработка и реализация программ и прое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ктов в сфере молодежной политики;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поддержания международных связей и содействия обеспечению представительства интересов молодых граждан Российской Федерации в международных и межгосударственных организациях по вопросам международного сотрудничества, междун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ародных молодежных обменов;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обмен опытом в сфере молоде</w:t>
      </w: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жной политики;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  <w:t>иные формы, предусмотренных законодательством Российской Федерации.</w:t>
      </w:r>
    </w:p>
    <w:p w:rsidR="008607D0" w:rsidRDefault="008607D0">
      <w:pPr>
        <w:widowControl w:val="0"/>
        <w:spacing w:after="0" w:line="360" w:lineRule="auto"/>
        <w:ind w:firstLine="709"/>
        <w:contextualSpacing/>
        <w:jc w:val="both"/>
        <w:rPr>
          <w:rFonts w:ascii="Times New Roman" w:eastAsia="Times New Roman" w:hAnsi="Times New Roman"/>
          <w:color w:val="000000" w:themeColor="text1"/>
          <w:sz w:val="24"/>
          <w:szCs w:val="24"/>
          <w:highlight w:val="white"/>
        </w:rPr>
      </w:pPr>
    </w:p>
    <w:p w:rsidR="008607D0" w:rsidRDefault="007A74B0">
      <w:pPr>
        <w:widowControl w:val="0"/>
        <w:spacing w:after="0" w:line="240" w:lineRule="auto"/>
        <w:ind w:firstLine="709"/>
        <w:contextualSpacing/>
        <w:jc w:val="both"/>
        <w:outlineLvl w:val="1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color w:val="000000" w:themeColor="text1"/>
          <w:sz w:val="24"/>
          <w:szCs w:val="24"/>
        </w:rPr>
        <w:t xml:space="preserve">3. Финансовое обеспечение в сфере </w:t>
      </w:r>
      <w:r>
        <w:rPr>
          <w:rFonts w:ascii="Times New Roman" w:eastAsia="Times New Roman" w:hAnsi="Times New Roman"/>
          <w:b/>
          <w:bCs/>
          <w:sz w:val="24"/>
          <w:szCs w:val="24"/>
        </w:rPr>
        <w:t>организации и осуществления мероприятий по работе с детьми и молодежью, участия в р</w:t>
      </w:r>
      <w:r>
        <w:rPr>
          <w:rFonts w:ascii="Times New Roman" w:eastAsia="Times New Roman" w:hAnsi="Times New Roman"/>
          <w:b/>
          <w:bCs/>
          <w:sz w:val="24"/>
          <w:szCs w:val="24"/>
        </w:rPr>
        <w:t>еализации молодежной политики,          разработке и реализации мер по обеспечению и защите прав и законных интересов    молодежи, разработки и реализации муниципальных программ по основным направлениям реализации молодежной политики, организации и осущест</w:t>
      </w:r>
      <w:r>
        <w:rPr>
          <w:rFonts w:ascii="Times New Roman" w:eastAsia="Times New Roman" w:hAnsi="Times New Roman"/>
          <w:b/>
          <w:bCs/>
          <w:sz w:val="24"/>
          <w:szCs w:val="24"/>
        </w:rPr>
        <w:t>вления мониторинга реализации молодежной политики в Артемовском городском округе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3.1. Финансирование организации и осуществления мероприятий </w:t>
      </w:r>
      <w:r>
        <w:rPr>
          <w:rFonts w:ascii="Times New Roman" w:eastAsia="Times New Roman" w:hAnsi="Times New Roman"/>
          <w:sz w:val="24"/>
          <w:szCs w:val="24"/>
        </w:rPr>
        <w:t>по работе с детьми и молодежью, участие в реализации молодежной политики, разработка и реализация мер по обеспечени</w:t>
      </w:r>
      <w:r>
        <w:rPr>
          <w:rFonts w:ascii="Times New Roman" w:eastAsia="Times New Roman" w:hAnsi="Times New Roman"/>
          <w:sz w:val="24"/>
          <w:szCs w:val="24"/>
        </w:rPr>
        <w:t>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Артемовском городском округе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 яв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>ляется расходным обязательством Артемовского городского округа, подлежащим исполнению за счет бюджета округа, а также иных источников, не запрещенных законодательством Российской Федерации.</w:t>
      </w:r>
    </w:p>
    <w:p w:rsidR="008607D0" w:rsidRDefault="007A74B0">
      <w:pPr>
        <w:widowControl w:val="0"/>
        <w:spacing w:after="0" w:line="360" w:lineRule="auto"/>
        <w:ind w:firstLine="709"/>
        <w:contextualSpacing/>
        <w:jc w:val="both"/>
        <w:rPr>
          <w:rFonts w:ascii="Times New Roman" w:hAnsi="Times New Roman"/>
          <w:color w:val="000000" w:themeColor="text1"/>
          <w:sz w:val="24"/>
          <w:szCs w:val="24"/>
        </w:rPr>
      </w:pP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3.2. Финансирование мероприятий </w:t>
      </w:r>
      <w:r>
        <w:rPr>
          <w:rFonts w:ascii="Times New Roman" w:eastAsia="Times New Roman" w:hAnsi="Times New Roman"/>
          <w:sz w:val="24"/>
          <w:szCs w:val="24"/>
        </w:rPr>
        <w:t xml:space="preserve">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</w:t>
      </w:r>
      <w:r>
        <w:rPr>
          <w:rFonts w:ascii="Times New Roman" w:eastAsia="Times New Roman" w:hAnsi="Times New Roman"/>
          <w:sz w:val="24"/>
          <w:szCs w:val="24"/>
        </w:rPr>
        <w:t>политики, организация и осуществление мониторинга реализации молодежной политики в Артемовском городском округе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осуществляется за счет средств бюджета Артемовского городского округа и иных источников, не запрещенных действующим законодательством Российской</w:t>
      </w:r>
      <w:r>
        <w:rPr>
          <w:rFonts w:ascii="Times New Roman" w:eastAsia="Times New Roman" w:hAnsi="Times New Roman"/>
          <w:color w:val="000000" w:themeColor="text1"/>
          <w:sz w:val="24"/>
          <w:szCs w:val="24"/>
        </w:rPr>
        <w:t xml:space="preserve"> Федерации.</w:t>
      </w:r>
    </w:p>
    <w:sectPr w:rsidR="008607D0">
      <w:headerReference w:type="default" r:id="rId7"/>
      <w:footerReference w:type="default" r:id="rId8"/>
      <w:pgSz w:w="11906" w:h="16838"/>
      <w:pgMar w:top="1134" w:right="567" w:bottom="964" w:left="1701" w:header="567" w:footer="270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607D0" w:rsidRDefault="007A74B0">
      <w:pPr>
        <w:spacing w:after="0" w:line="240" w:lineRule="auto"/>
      </w:pPr>
      <w:r>
        <w:separator/>
      </w:r>
    </w:p>
  </w:endnote>
  <w:endnote w:type="continuationSeparator" w:id="0">
    <w:p w:rsidR="008607D0" w:rsidRDefault="007A74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7D0" w:rsidRDefault="008607D0">
    <w:pPr>
      <w:pStyle w:val="ad"/>
      <w:contextualSpacing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607D0" w:rsidRDefault="007A74B0">
      <w:pPr>
        <w:spacing w:after="0" w:line="240" w:lineRule="auto"/>
      </w:pPr>
      <w:r>
        <w:separator/>
      </w:r>
    </w:p>
  </w:footnote>
  <w:footnote w:type="continuationSeparator" w:id="0">
    <w:p w:rsidR="008607D0" w:rsidRDefault="007A74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607D0" w:rsidRDefault="007A74B0">
    <w:pPr>
      <w:pStyle w:val="ab"/>
      <w:jc w:val="center"/>
      <w:rPr>
        <w:rFonts w:ascii="Times New Roman" w:hAnsi="Times New Roman"/>
        <w:sz w:val="28"/>
        <w:szCs w:val="28"/>
      </w:rPr>
    </w:pPr>
    <w:r>
      <w:rPr>
        <w:rFonts w:ascii="Times New Roman" w:hAnsi="Times New Roman"/>
        <w:sz w:val="28"/>
        <w:szCs w:val="28"/>
      </w:rPr>
      <w:fldChar w:fldCharType="begin"/>
    </w:r>
    <w:r>
      <w:rPr>
        <w:rFonts w:ascii="Times New Roman" w:hAnsi="Times New Roman"/>
        <w:sz w:val="28"/>
        <w:szCs w:val="28"/>
      </w:rPr>
      <w:instrText xml:space="preserve"> PAGE   \* MERGEFORMAT </w:instrText>
    </w:r>
    <w:r>
      <w:rPr>
        <w:rFonts w:ascii="Times New Roman" w:hAnsi="Times New Roman"/>
        <w:sz w:val="24"/>
        <w:szCs w:val="24"/>
      </w:rPr>
      <w:fldChar w:fldCharType="separate"/>
    </w:r>
    <w:r w:rsidRPr="007A74B0">
      <w:rPr>
        <w:rFonts w:ascii="Times New Roman" w:hAnsi="Times New Roman"/>
        <w:noProof/>
        <w:sz w:val="24"/>
        <w:szCs w:val="24"/>
      </w:rPr>
      <w:t>7</w:t>
    </w:r>
    <w:r>
      <w:rPr>
        <w:rFonts w:ascii="Times New Roman" w:hAnsi="Times New Roman"/>
        <w:sz w:val="24"/>
        <w:szCs w:val="24"/>
      </w:rPr>
      <w:fldChar w:fldCharType="end"/>
    </w:r>
  </w:p>
  <w:p w:rsidR="008607D0" w:rsidRDefault="008607D0">
    <w:pPr>
      <w:pStyle w:val="ab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8759C7"/>
    <w:multiLevelType w:val="hybridMultilevel"/>
    <w:tmpl w:val="E382A6D4"/>
    <w:lvl w:ilvl="0" w:tplc="81A8686A">
      <w:start w:val="1"/>
      <w:numFmt w:val="decimal"/>
      <w:lvlText w:val="%1."/>
      <w:lvlJc w:val="left"/>
      <w:pPr>
        <w:ind w:left="900" w:hanging="360"/>
      </w:pPr>
      <w:rPr>
        <w:rFonts w:ascii="Times New Roman" w:eastAsia="Calibri" w:hAnsi="Times New Roman" w:cs="Times New Roman"/>
      </w:rPr>
    </w:lvl>
    <w:lvl w:ilvl="1" w:tplc="14AA33EA">
      <w:start w:val="1"/>
      <w:numFmt w:val="lowerLetter"/>
      <w:lvlText w:val="%2."/>
      <w:lvlJc w:val="left"/>
      <w:pPr>
        <w:ind w:left="1620" w:hanging="360"/>
      </w:pPr>
    </w:lvl>
    <w:lvl w:ilvl="2" w:tplc="FD4AA85A">
      <w:start w:val="1"/>
      <w:numFmt w:val="lowerRoman"/>
      <w:lvlText w:val="%3."/>
      <w:lvlJc w:val="right"/>
      <w:pPr>
        <w:ind w:left="2340" w:hanging="180"/>
      </w:pPr>
    </w:lvl>
    <w:lvl w:ilvl="3" w:tplc="1B062328">
      <w:start w:val="1"/>
      <w:numFmt w:val="decimal"/>
      <w:lvlText w:val="%4."/>
      <w:lvlJc w:val="left"/>
      <w:pPr>
        <w:ind w:left="3060" w:hanging="360"/>
      </w:pPr>
    </w:lvl>
    <w:lvl w:ilvl="4" w:tplc="00785444">
      <w:start w:val="1"/>
      <w:numFmt w:val="lowerLetter"/>
      <w:lvlText w:val="%5."/>
      <w:lvlJc w:val="left"/>
      <w:pPr>
        <w:ind w:left="3780" w:hanging="360"/>
      </w:pPr>
    </w:lvl>
    <w:lvl w:ilvl="5" w:tplc="0616F0E6">
      <w:start w:val="1"/>
      <w:numFmt w:val="lowerRoman"/>
      <w:lvlText w:val="%6."/>
      <w:lvlJc w:val="right"/>
      <w:pPr>
        <w:ind w:left="4500" w:hanging="180"/>
      </w:pPr>
    </w:lvl>
    <w:lvl w:ilvl="6" w:tplc="537408A4">
      <w:start w:val="1"/>
      <w:numFmt w:val="decimal"/>
      <w:lvlText w:val="%7."/>
      <w:lvlJc w:val="left"/>
      <w:pPr>
        <w:ind w:left="5220" w:hanging="360"/>
      </w:pPr>
    </w:lvl>
    <w:lvl w:ilvl="7" w:tplc="EAC4EBE4">
      <w:start w:val="1"/>
      <w:numFmt w:val="lowerLetter"/>
      <w:lvlText w:val="%8."/>
      <w:lvlJc w:val="left"/>
      <w:pPr>
        <w:ind w:left="5940" w:hanging="360"/>
      </w:pPr>
    </w:lvl>
    <w:lvl w:ilvl="8" w:tplc="0BAAECDA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07D0"/>
    <w:rsid w:val="007A74B0"/>
    <w:rsid w:val="008607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5F19FEA-0816-467F-9ED6-6E7FD63ACE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qFormat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sz w:val="36"/>
      <w:szCs w:val="20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360" w:lineRule="auto"/>
      <w:jc w:val="center"/>
      <w:outlineLvl w:val="2"/>
    </w:pPr>
    <w:rPr>
      <w:rFonts w:ascii="Times New Roman" w:eastAsia="Times New Roman" w:hAnsi="Times New Roman"/>
      <w:b/>
      <w:sz w:val="26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aptionChar">
    <w:name w:val="Caption Char"/>
    <w:basedOn w:val="a0"/>
    <w:uiPriority w:val="35"/>
    <w:rPr>
      <w:b/>
      <w:bCs/>
      <w:color w:val="4F81BD" w:themeColor="accent1"/>
      <w:sz w:val="18"/>
      <w:szCs w:val="18"/>
    </w:rPr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4Char">
    <w:name w:val="Heading 4 Char"/>
    <w:basedOn w:val="a0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basedOn w:val="a0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basedOn w:val="a0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6">
    <w:name w:val="Название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/>
    </w:pPr>
    <w:rPr>
      <w:sz w:val="24"/>
      <w:szCs w:val="24"/>
    </w:r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ac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uiPriority w:val="99"/>
  </w:style>
  <w:style w:type="paragraph" w:styleId="ad">
    <w:name w:val="footer"/>
    <w:basedOn w:val="a"/>
    <w:link w:val="ae"/>
    <w:uiPriority w:val="99"/>
    <w:unhideWhenUsed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uiPriority w:val="99"/>
  </w:style>
  <w:style w:type="paragraph" w:styleId="af">
    <w:name w:val="caption"/>
    <w:basedOn w:val="a"/>
    <w:next w:val="a"/>
    <w:link w:val="af0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0">
    <w:name w:val="Название объекта Знак"/>
    <w:link w:val="af"/>
    <w:uiPriority w:val="99"/>
  </w:style>
  <w:style w:type="table" w:styleId="af1">
    <w:name w:val="Table Grid"/>
    <w:basedOn w:val="a1"/>
    <w:uiPriority w:val="59"/>
    <w:tblPr/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semiHidden/>
    <w:unhideWhenUsed/>
    <w:rPr>
      <w:color w:val="0000FF"/>
      <w:u w:val="single"/>
    </w:rPr>
  </w:style>
  <w:style w:type="paragraph" w:styleId="af3">
    <w:name w:val="footnote text"/>
    <w:basedOn w:val="a"/>
    <w:link w:val="af4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7">
    <w:name w:val="Текст концевой сноски Знак"/>
    <w:link w:val="af6"/>
    <w:uiPriority w:val="99"/>
    <w:rPr>
      <w:sz w:val="20"/>
    </w:rPr>
  </w:style>
  <w:style w:type="character" w:styleId="af8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9">
    <w:name w:val="TOC Heading"/>
    <w:uiPriority w:val="39"/>
    <w:unhideWhenUsed/>
  </w:style>
  <w:style w:type="paragraph" w:styleId="afa">
    <w:name w:val="table of figures"/>
    <w:basedOn w:val="a"/>
    <w:next w:val="a"/>
    <w:uiPriority w:val="99"/>
    <w:unhideWhenUsed/>
    <w:pPr>
      <w:spacing w:after="0"/>
    </w:p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30">
    <w:name w:val="Заголовок 3 Знак"/>
    <w:link w:val="3"/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ConsPlusNormal">
    <w:name w:val="ConsPlusNormal"/>
    <w:pPr>
      <w:widowControl w:val="0"/>
    </w:pPr>
    <w:rPr>
      <w:rFonts w:ascii="Arial" w:eastAsia="Times New Roman" w:hAnsi="Arial" w:cs="Arial"/>
      <w:lang w:eastAsia="ru-RU"/>
    </w:rPr>
  </w:style>
  <w:style w:type="character" w:customStyle="1" w:styleId="highlighted">
    <w:name w:val="highlighted"/>
    <w:basedOn w:val="a0"/>
  </w:style>
  <w:style w:type="paragraph" w:customStyle="1" w:styleId="style7">
    <w:name w:val="style7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10">
    <w:name w:val="style10"/>
    <w:basedOn w:val="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c">
    <w:name w:val="Верхний колонтитул Знак"/>
    <w:basedOn w:val="a0"/>
    <w:link w:val="ab"/>
    <w:uiPriority w:val="99"/>
  </w:style>
  <w:style w:type="character" w:customStyle="1" w:styleId="ae">
    <w:name w:val="Нижний колонтитул Знак"/>
    <w:basedOn w:val="a0"/>
    <w:link w:val="ad"/>
    <w:uiPriority w:val="99"/>
  </w:style>
  <w:style w:type="character" w:styleId="afb">
    <w:name w:val="Strong"/>
    <w:uiPriority w:val="22"/>
    <w:qFormat/>
    <w:rPr>
      <w:b/>
      <w:bCs/>
    </w:rPr>
  </w:style>
  <w:style w:type="paragraph" w:styleId="afc">
    <w:name w:val="Balloon Text"/>
    <w:basedOn w:val="a"/>
    <w:link w:val="afd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d">
    <w:name w:val="Текст выноски Знак"/>
    <w:link w:val="afc"/>
    <w:uiPriority w:val="99"/>
    <w:semiHidden/>
    <w:rPr>
      <w:rFonts w:ascii="Segoe UI" w:hAnsi="Segoe UI" w:cs="Segoe UI"/>
      <w:sz w:val="18"/>
      <w:szCs w:val="18"/>
    </w:rPr>
  </w:style>
  <w:style w:type="paragraph" w:customStyle="1" w:styleId="ConsPlusNormal0">
    <w:name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sz w:val="16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7</Pages>
  <Words>2243</Words>
  <Characters>12791</Characters>
  <Application>Microsoft Office Word</Application>
  <DocSecurity>0</DocSecurity>
  <Lines>106</Lines>
  <Paragraphs>30</Paragraphs>
  <ScaleCrop>false</ScaleCrop>
  <Company/>
  <LinksUpToDate>false</LinksUpToDate>
  <CharactersWithSpaces>15004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админ</cp:lastModifiedBy>
  <cp:revision>38</cp:revision>
  <dcterms:created xsi:type="dcterms:W3CDTF">2023-04-14T07:50:00Z</dcterms:created>
  <dcterms:modified xsi:type="dcterms:W3CDTF">2025-07-23T07:18:00Z</dcterms:modified>
  <cp:version>983040</cp:version>
</cp:coreProperties>
</file>